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108</w:t>
      </w:r>
      <w:r>
        <w:rPr>
          <w:rFonts w:cs="Times New Roman" w:ascii="Times New Roman" w:hAnsi="Times New Roman"/>
          <w:sz w:val="24"/>
          <w:szCs w:val="24"/>
        </w:rPr>
        <w:t xml:space="preserve"> от «2</w:t>
      </w:r>
      <w:r>
        <w:rPr>
          <w:rFonts w:cs="Times New Roman" w:ascii="Times New Roman" w:hAnsi="Times New Roman"/>
          <w:sz w:val="24"/>
          <w:szCs w:val="24"/>
        </w:rPr>
        <w:t>5</w:t>
      </w:r>
      <w:r>
        <w:rPr>
          <w:rFonts w:cs="Times New Roman" w:ascii="Times New Roman" w:hAnsi="Times New Roman"/>
          <w:sz w:val="24"/>
          <w:szCs w:val="24"/>
        </w:rPr>
        <w:t xml:space="preserve">» </w:t>
      </w:r>
      <w:r>
        <w:rPr>
          <w:rFonts w:cs="Times New Roman" w:ascii="Times New Roman" w:hAnsi="Times New Roman"/>
          <w:sz w:val="24"/>
          <w:szCs w:val="24"/>
        </w:rPr>
        <w:t>августа</w:t>
      </w:r>
      <w:r>
        <w:rPr>
          <w:rFonts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ДОКУМЕНТАЦИЯ О ПРОВЕДЕНИИ</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ПО.а.26.</w:t>
      </w:r>
      <w:r>
        <w:rPr>
          <w:rFonts w:eastAsia="Times New Roman" w:cs="Times New Roman" w:ascii="Times New Roman" w:hAnsi="Times New Roman"/>
          <w:b/>
          <w:sz w:val="28"/>
          <w:szCs w:val="28"/>
          <w:lang w:eastAsia="ru-RU"/>
        </w:rPr>
        <w:t>3</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spacing w:before="0" w:after="160"/>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капитальному ремонту общего имущества в многоквартирных домах.</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1. Документация  разработана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br/>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ПО.а.26.</w:t>
      </w:r>
      <w:r>
        <w:rPr>
          <w:rFonts w:ascii="Times New Roman" w:hAnsi="Times New Roman"/>
          <w:b/>
          <w:bCs/>
          <w:sz w:val="24"/>
          <w:szCs w:val="28"/>
        </w:rPr>
        <w:t>3</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eastAsia="Calibri" w:cs="Times New Roman" w:ascii="Times New Roman" w:hAnsi="Times New Roman"/>
          <w:sz w:val="24"/>
          <w:szCs w:val="24"/>
        </w:rPr>
        <w:t>Оказание услуг и (или) выполнение работ по капитальному ремонту общего имущества в многоквартирных домах</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отборе (далее – Заявка):</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августа</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 xml:space="preserve">«15» </w:t>
      </w:r>
      <w:r>
        <w:rPr>
          <w:rFonts w:ascii="Times New Roman" w:hAnsi="Times New Roman"/>
          <w:bCs/>
          <w:sz w:val="24"/>
        </w:rPr>
        <w:t>сентября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сентября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капитальному ремонту общего имущества в многоквартирных домах</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7"/>
        <w:gridCol w:w="3073"/>
        <w:gridCol w:w="6144"/>
      </w:tblGrid>
      <w:tr>
        <w:trPr>
          <w:tblHeader w:val="true"/>
          <w:trHeight w:val="458" w:hRule="atLeast"/>
        </w:trPr>
        <w:tc>
          <w:tcPr>
            <w:tcW w:w="707"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3"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7"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3"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7"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3"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оказанию услуг и (или) выполнению работ по капитальному ремонту общего имущества в многоквартирных домах по предмету предварительного отбора подрядных организаций «Оказание услуг и (или) выполнение работ по капитальному ремонту общего имущества в многоквартирных домах на территории Ивановской области»</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Строительными нормами и правилами (СНиП);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Техническими регламентами;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Сводами правил (СП);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по охране труда при эксплуатации электроустановок (ПОТЭУ);</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устройства электроустановок (ПУЭ);</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технической эксплуатации электроустановок потребителей (ПТЭЭ), и др.</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по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Предоставлять Заказчику еженедельный письменный отчет о ходе выполнения работ в электронном или бумажном виде.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Производить фотофиксацию Объекта в целом до начала, еженедельно в процессе производства работ и после завершения Работ, а также фотофиксацию всех этапов скрытых работ с приложением материалов фотофиксации к еженедельным отчетам.</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Утилизацию строительного мусора производить за счет Подрядчика.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Обеспечить выполнение требований безопасности пребывания людей, так как работы по капитальному ремонту будут осуществляться в условиях эксплуатируемого многоквартирного дома.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5) До начала работ Подрядчик обязан выполнить подготовительные работы и в дальнейшем в процессе работ принимать меры по защите помещений собственников от протечек и прочих повреждений, связанных с производством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6) Обеспечить обязательное выполнение требований законодательства Российской Федерации о безопасном ведении работ, охране окружающей среды, охране труда, пожарной безопасности и других строительных норм и правил.</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используемых в ходе работ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При производстве работ Подрядчик должен использовать материалы, имеющие сертификаты качества (паспорта на материалы и оборудование). </w:t>
            </w:r>
            <w:r>
              <w:rPr>
                <w:rFonts w:eastAsia="Calibri" w:cs="Times New Roman" w:ascii="Times New Roman" w:hAnsi="Times New Roman"/>
                <w:sz w:val="24"/>
                <w:szCs w:val="24"/>
              </w:rPr>
              <w:t>Качество, технические, функциональные характеристики (потребительские свойства), эксплуатационные характеристики и иные показатели материалов и оборудования, используемых при выполнении работ, должны соответствовать Гражданскому кодексу Российской Федерации, Федеральному закону от 22 июля 2008 года № 123-ФЗ «Технический регламент о требованиях пожарной безопасности», Федеральному закону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иным положениям действующего законодательства Российской Федерации, ГОСТам, ОСТам, ТУ другими документами, удостоверяющими их качество</w:t>
            </w:r>
            <w:r>
              <w:rPr>
                <w:rFonts w:eastAsia="Times New Roman" w:cs="Times New Roman" w:ascii="Times New Roman" w:hAnsi="Times New Roman"/>
                <w:sz w:val="24"/>
                <w:szCs w:val="24"/>
                <w:lang w:eastAsia="ru-RU"/>
              </w:rPr>
              <w:t>.</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Технические характеристики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Количественные и технические характеристики используемых материалов и оборудования – в соответствии со сметной (проектной – при наличии) документацией.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В случае указания на товарные знаки применяемых материалов следует читать «или эквивалент».</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spacing w:lineRule="auto" w:line="240" w:before="0" w:after="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строительного подряда, предусмотренного частью 7 статьи 166 Жилищного кодекса Российской Федерации</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Fonts w:cs="Times New Roman" w:ascii="Times New Roman" w:hAnsi="Times New Roman"/>
                <w:sz w:val="24"/>
                <w:szCs w:val="24"/>
              </w:rPr>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hd w:val="clear" w:color="auto" w:fill="FFFFFF" w:themeFill="background1"/>
              <w:suppressAutoHyphens w:val="true"/>
              <w:spacing w:lineRule="auto" w:line="240" w:before="0" w:after="0"/>
              <w:jc w:val="left"/>
              <w:rPr>
                <w:rStyle w:val="Style15"/>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i/>
                <w:i/>
                <w:sz w:val="24"/>
                <w:szCs w:val="24"/>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Fonts w:eastAsia="Calibri" w:cs="Times New Roman" w:ascii="Times New Roman" w:hAnsi="Times New Roman"/>
                <w:i/>
                <w:kern w:val="0"/>
                <w:sz w:val="24"/>
                <w:szCs w:val="24"/>
                <w:lang w:val="ru-RU" w:eastAsia="en-US" w:bidi="ar-SA"/>
              </w:rPr>
              <w:t>оказание услуг и (или) выполнение работ по капитальному ремонту общего имущества в многоквартирных домах</w:t>
            </w:r>
            <w:r>
              <w:rPr>
                <w:rStyle w:val="Style15"/>
                <w:rFonts w:eastAsia="Calibri" w:cs="Times New Roman" w:ascii="Times New Roman" w:hAnsi="Times New Roman"/>
                <w:i/>
                <w:kern w:val="0"/>
                <w:sz w:val="24"/>
                <w:szCs w:val="24"/>
                <w:lang w:val="ru-RU" w:eastAsia="en-US" w:bidi="ar-SA"/>
              </w:rPr>
              <w:t>.</w:t>
            </w:r>
          </w:p>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установленном постановлением Правительства Ивановской области от 30.04.2014 </w:t>
              <w:br/>
              <w:t xml:space="preserve">№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 по web-адресу: </w:t>
            </w:r>
            <w:hyperlink r:id="rId2">
              <w:r>
                <w:rPr>
                  <w:rStyle w:val="Hyperlink"/>
                  <w:rFonts w:eastAsia="Calibri" w:cs="Times New Roman" w:ascii="Arial" w:hAnsi="Arial"/>
                  <w:kern w:val="0"/>
                  <w:sz w:val="24"/>
                  <w:szCs w:val="24"/>
                  <w:lang w:val="ru-RU" w:eastAsia="en-US" w:bidi="ar-SA"/>
                </w:rPr>
                <w:t>http://www.kaprem37.ru/</w:t>
              </w:r>
            </w:hyperlink>
            <w:r>
              <w:rPr>
                <w:rStyle w:val="Style15"/>
                <w:rFonts w:eastAsia="Calibri" w:cs="Times New Roman" w:ascii="Times New Roman" w:hAnsi="Times New Roman"/>
                <w:kern w:val="0"/>
                <w:sz w:val="24"/>
                <w:szCs w:val="24"/>
                <w:lang w:val="ru-RU" w:eastAsia="en-US" w:bidi="ar-SA"/>
              </w:rPr>
              <w:t xml:space="preserve"> в разделе - «Региональная программа».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услуг и (или)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и сроки оплаты услуг и (или) работ по договору устанавливаются Заказчиком в документации о проведении электронного аукциона.</w:t>
            </w:r>
            <w:r>
              <w:rPr>
                <w:rFonts w:eastAsia="Calibri" w:cs="Times New Roman" w:ascii="Times New Roman" w:hAnsi="Times New Roman"/>
                <w:kern w:val="0"/>
                <w:sz w:val="24"/>
                <w:szCs w:val="24"/>
                <w:lang w:val="ru-RU" w:eastAsia="ru-RU" w:bidi="ar-SA"/>
              </w:rPr>
              <w:t xml:space="preserve"> При любом установленном договором порядке окончательная оплата услуг и (или) работ по договору производится</w:t>
            </w:r>
            <w:r>
              <w:rPr>
                <w:rFonts w:eastAsia="Calibri" w:cs=""/>
                <w:kern w:val="0"/>
                <w:sz w:val="22"/>
                <w:szCs w:val="22"/>
                <w:lang w:val="ru-RU" w:eastAsia="en-US" w:bidi="ar-SA"/>
              </w:rPr>
              <w:t xml:space="preserve"> </w:t>
            </w:r>
            <w:r>
              <w:rPr>
                <w:rFonts w:eastAsia="Calibri" w:cs="Times New Roman" w:ascii="Times New Roman" w:hAnsi="Times New Roman"/>
                <w:kern w:val="0"/>
                <w:sz w:val="24"/>
                <w:szCs w:val="24"/>
                <w:lang w:val="ru-RU" w:eastAsia="ru-RU" w:bidi="ar-SA"/>
              </w:rPr>
              <w:t>за фактически выполненные услуги и (или) работы на основании утверждённого комиссией, созданной в порядке п. 5 ч. 2 ст. 182 ЖК РФ, 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w:t>
            </w:r>
            <w:r>
              <w:rPr>
                <w:rFonts w:eastAsia="Calibri" w:cs="Times New Roman" w:ascii="Times New Roman" w:hAnsi="Times New Roman"/>
                <w:kern w:val="0"/>
                <w:sz w:val="24"/>
                <w:szCs w:val="24"/>
                <w:highlight w:val="yellow"/>
                <w:lang w:val="ru-RU" w:eastAsia="en-US" w:bidi="ar-SA"/>
              </w:rPr>
              <w:t xml:space="preserve"> </w:t>
            </w:r>
            <w:r>
              <w:rPr>
                <w:rFonts w:eastAsia="Calibri" w:cs="Times New Roman" w:ascii="Times New Roman" w:hAnsi="Times New Roman"/>
                <w:kern w:val="0"/>
                <w:sz w:val="24"/>
                <w:szCs w:val="24"/>
                <w:lang w:val="ru-RU" w:eastAsia="en-US" w:bidi="ar-SA"/>
              </w:rPr>
              <w:t>оказания услуг и (или)</w:t>
            </w:r>
            <w:r>
              <w:rPr>
                <w:rStyle w:val="Style15"/>
                <w:rFonts w:eastAsia="Calibri" w:cs="Times New Roman" w:ascii="Times New Roman" w:hAnsi="Times New Roman"/>
                <w:kern w:val="0"/>
                <w:sz w:val="24"/>
                <w:szCs w:val="24"/>
                <w:lang w:val="ru-RU" w:eastAsia="en-US" w:bidi="ar-SA"/>
              </w:rPr>
              <w:t xml:space="preserve"> выполнения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Порядок и сроки приемки </w:t>
            </w:r>
            <w:r>
              <w:rPr>
                <w:rFonts w:eastAsia="Calibri" w:cs="Times New Roman" w:ascii="Times New Roman" w:hAnsi="Times New Roman"/>
                <w:kern w:val="0"/>
                <w:sz w:val="24"/>
                <w:szCs w:val="24"/>
                <w:lang w:val="ru-RU" w:eastAsia="en-US" w:bidi="ar-SA"/>
              </w:rPr>
              <w:t>оказанных услуг и (или)</w:t>
            </w:r>
            <w:r>
              <w:rPr>
                <w:rStyle w:val="Style15"/>
                <w:rFonts w:eastAsia="Calibri" w:cs="Times New Roman" w:ascii="Times New Roman" w:hAnsi="Times New Roman"/>
                <w:kern w:val="0"/>
                <w:sz w:val="24"/>
                <w:szCs w:val="24"/>
                <w:lang w:val="ru-RU" w:eastAsia="en-US" w:bidi="ar-SA"/>
              </w:rPr>
              <w:t xml:space="preserve"> выполненных работ</w:t>
            </w:r>
          </w:p>
        </w:tc>
        <w:tc>
          <w:tcPr>
            <w:tcW w:w="7371" w:type="dxa"/>
            <w:tcBorders/>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Порядок и сроки оказанных услуг и (или) выполненных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sz w:val="24"/>
                <w:szCs w:val="24"/>
                <w:u w:val="single"/>
                <w:lang w:val="ru-RU" w:bidi="ar-SA"/>
              </w:rPr>
              <w:t xml:space="preserve">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б) 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Normal"/>
              <w:widowControl/>
              <w:suppressAutoHyphens w:val="true"/>
              <w:spacing w:lineRule="auto" w:line="240" w:before="0" w:after="0"/>
              <w:jc w:val="both"/>
              <w:rPr>
                <w:rFonts w:ascii="Times New Roman" w:hAnsi="Times New Roman" w:cs="Times New Roman"/>
                <w:color w:val="FF0000"/>
                <w:sz w:val="24"/>
                <w:szCs w:val="24"/>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7. В </w:t>
            </w:r>
            <w:r>
              <w:rPr>
                <w:rFonts w:eastAsia="Calibri" w:cs="Times New Roman" w:ascii="Times New Roman" w:hAnsi="Times New Roman"/>
                <w:kern w:val="0"/>
                <w:sz w:val="24"/>
                <w:szCs w:val="24"/>
                <w:lang w:val="ru-RU" w:eastAsia="en-US" w:bidi="ar-SA"/>
              </w:rPr>
              <w:t>документации о проведении электронного аукциона</w:t>
            </w:r>
            <w:r>
              <w:rPr>
                <w:rStyle w:val="Style15"/>
                <w:rFonts w:eastAsia="Calibri" w:cs="Times New Roman" w:ascii="Times New Roman" w:hAnsi="Times New Roman"/>
                <w:kern w:val="0"/>
                <w:sz w:val="24"/>
                <w:szCs w:val="24"/>
                <w:lang w:val="ru-RU" w:eastAsia="en-US"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3">
        <w:r>
          <w:rPr>
            <w:rStyle w:val="Hyperlink"/>
            <w:rFonts w:cs="Times New Roman" w:ascii="Arial" w:hAnsi="Arial"/>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капитальному ремонту общего имущества в многоквартирных домах</w:t>
      </w:r>
      <w:r>
        <w:rPr>
          <w:rFonts w:cs="Times New Roman" w:ascii="Times New Roman" w:hAnsi="Times New Roman"/>
          <w:sz w:val="28"/>
          <w:szCs w:val="28"/>
        </w:rPr>
        <w:t>, 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а) </w:t>
      </w:r>
      <w:r>
        <w:rPr>
          <w:rFonts w:eastAsia="Calibri" w:cs="Times New Roman" w:ascii="Times New Roman" w:hAnsi="Times New Roman"/>
          <w:sz w:val="28"/>
          <w:szCs w:val="28"/>
        </w:rPr>
        <w:t>членство Участника в саморегулируемой организации в области строительства, реконструкции, капитального ремонта объектов капитального строительства,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5"/>
        <w:gridCol w:w="2128"/>
        <w:gridCol w:w="1841"/>
        <w:gridCol w:w="2408"/>
        <w:gridCol w:w="1558"/>
      </w:tblGrid>
      <w:tr>
        <w:trPr>
          <w:trHeight w:val="906" w:hRule="atLeast"/>
        </w:trPr>
        <w:tc>
          <w:tcPr>
            <w:tcW w:w="705"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5"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5"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4</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 xml:space="preserve">* - </w:t>
      </w:r>
      <w:r>
        <w:rPr>
          <w:rFonts w:eastAsia="Times New Roman" w:cs="Times New Roman" w:ascii="Times New Roman" w:hAnsi="Times New Roman"/>
          <w:sz w:val="18"/>
          <w:szCs w:val="18"/>
          <w:lang w:eastAsia="ru-RU"/>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w:t>
      </w:r>
      <w:r>
        <w:rPr>
          <w:rFonts w:cs="Times New Roman" w:ascii="Times New Roman" w:hAnsi="Times New Roman"/>
          <w:sz w:val="18"/>
          <w:szCs w:val="18"/>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sz w:val="18"/>
          <w:szCs w:val="18"/>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90 000 000 (девяносто миллионов) рублей (первый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90 000 000 (девяносто миллионов) рублей, но не превышает 500 000 000 (пятьсот миллионов) рублей (второй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 не превышает 3 000 000 000 (три миллиарда) рублей (третий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 (четвертый и пятый уровни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Normal"/>
        <w:tabs>
          <w:tab w:val="clear" w:pos="708"/>
          <w:tab w:val="left" w:pos="3060" w:leader="none"/>
        </w:tabs>
        <w:spacing w:lineRule="auto" w:line="240" w:before="0" w:after="0"/>
        <w:ind w:firstLine="709" w:right="2"/>
        <w:jc w:val="both"/>
        <w:rPr>
          <w:rFonts w:ascii="Times New Roman" w:hAnsi="Times New Roman" w:cs="Times New Roman"/>
          <w:i/>
          <w:i/>
          <w:sz w:val="24"/>
          <w:szCs w:val="24"/>
        </w:rPr>
      </w:pPr>
      <w:r>
        <w:rPr>
          <w:rFonts w:cs="Times New Roman" w:ascii="Times New Roman" w:hAnsi="Times New Roman"/>
          <w:i/>
          <w:sz w:val="24"/>
          <w:szCs w:val="24"/>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подписать Заявку усиленной неквалифицированной электронной подписью.</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color w:themeColor="text1" w:val="000000"/>
          <w:sz w:val="28"/>
          <w:szCs w:val="28"/>
        </w:rPr>
      </w:pPr>
      <w:r>
        <w:rPr>
          <w:rStyle w:val="Style15"/>
          <w:rFonts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и)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cs="Times New Roman"/>
          <w:i/>
          <w:i/>
          <w:sz w:val="28"/>
          <w:szCs w:val="28"/>
        </w:rPr>
      </w:pPr>
      <w:r>
        <w:rPr>
          <w:rStyle w:val="Style15"/>
          <w:rFonts w:cs="Times New Roman" w:ascii="Times New Roman" w:hAnsi="Times New Roman"/>
          <w:sz w:val="28"/>
          <w:szCs w:val="28"/>
        </w:rPr>
        <w:t>м)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ConsPlusNormal1"/>
        <w:ind w:left="-426"/>
        <w:jc w:val="center"/>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Регистрация на электронной площадке, а также участие в предварительном отборе осуществляется без взимания платы с Участника.</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Участник в рамках извещения о проведении предварительного отбора </w:t>
      </w:r>
      <w:r>
        <w:rPr>
          <w:rFonts w:cs="Times New Roman" w:ascii="Times New Roman" w:hAnsi="Times New Roman"/>
          <w:b/>
          <w:sz w:val="28"/>
          <w:szCs w:val="28"/>
        </w:rPr>
        <w:t>№ ПО.а.26.</w:t>
      </w:r>
      <w:r>
        <w:rPr>
          <w:rFonts w:cs="Times New Roman" w:ascii="Times New Roman" w:hAnsi="Times New Roman"/>
          <w:b/>
          <w:sz w:val="28"/>
          <w:szCs w:val="28"/>
        </w:rPr>
        <w:t>3</w:t>
      </w:r>
      <w:r>
        <w:rPr>
          <w:rFonts w:cs="Times New Roman" w:ascii="Times New Roman" w:hAnsi="Times New Roman"/>
          <w:b/>
          <w:sz w:val="28"/>
          <w:szCs w:val="28"/>
        </w:rPr>
        <w:t xml:space="preserve"> от 2</w:t>
      </w:r>
      <w:r>
        <w:rPr>
          <w:rFonts w:cs="Times New Roman" w:ascii="Times New Roman" w:hAnsi="Times New Roman"/>
          <w:b/>
          <w:sz w:val="28"/>
          <w:szCs w:val="28"/>
        </w:rPr>
        <w:t>5</w:t>
      </w:r>
      <w:r>
        <w:rPr>
          <w:rFonts w:cs="Times New Roman" w:ascii="Times New Roman" w:hAnsi="Times New Roman"/>
          <w:b/>
          <w:sz w:val="28"/>
          <w:szCs w:val="28"/>
        </w:rPr>
        <w:t>.0</w:t>
      </w:r>
      <w:r>
        <w:rPr>
          <w:rFonts w:cs="Times New Roman" w:ascii="Times New Roman" w:hAnsi="Times New Roman"/>
          <w:b/>
          <w:sz w:val="28"/>
          <w:szCs w:val="28"/>
        </w:rPr>
        <w:t>8</w:t>
      </w:r>
      <w:r>
        <w:rPr>
          <w:rFonts w:cs="Times New Roman" w:ascii="Times New Roman" w:hAnsi="Times New Roman"/>
          <w:b/>
          <w:sz w:val="28"/>
          <w:szCs w:val="28"/>
        </w:rPr>
        <w:t xml:space="preserve">.2026 </w:t>
      </w:r>
      <w:r>
        <w:rPr>
          <w:rFonts w:cs="Times New Roman" w:ascii="Times New Roman" w:hAnsi="Times New Roman"/>
          <w:sz w:val="28"/>
          <w:szCs w:val="28"/>
        </w:rPr>
        <w:t>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изменить.</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подается Участником не ранее даты, указанной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поданные ранее даты и времени, указанные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Каждая Заявка, поступившая в установленные сроки, регистрируется оператором электронной площадки, с присвоением порядкового номера.</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1134"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7 сентября</w:t>
      </w:r>
      <w:r>
        <w:rPr>
          <w:rFonts w:cs="Times New Roman" w:ascii="Times New Roman" w:hAnsi="Times New Roman"/>
          <w:b/>
          <w:sz w:val="28"/>
          <w:szCs w:val="28"/>
        </w:rPr>
        <w:t xml:space="preserve"> 2026</w:t>
      </w:r>
      <w:bookmarkStart w:id="0" w:name="_GoBack"/>
      <w:bookmarkEnd w:id="0"/>
      <w:r>
        <w:rPr>
          <w:rFonts w:cs="Times New Roman" w:ascii="Times New Roman" w:hAnsi="Times New Roman"/>
          <w:b/>
          <w:sz w:val="28"/>
          <w:szCs w:val="28"/>
        </w:rPr>
        <w:t xml:space="preserve"> г. </w:t>
      </w:r>
      <w:r>
        <w:rPr>
          <w:rFonts w:cs="Times New Roman" w:ascii="Times New Roman" w:hAnsi="Times New Roman"/>
          <w:sz w:val="28"/>
          <w:szCs w:val="28"/>
        </w:rPr>
        <w:t xml:space="preserve">включительно.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на участие </w:t>
        <w:br/>
        <w:t>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Поступившие от Участников Заявки рассматриваются комиссией по проведению предварительного отбора (далее – Комиссия).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Участие в предварительном отборе и заседаниях Комиссии осуществляется без взимания платы с Участника.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Протоколы Комиссии, составленные в ходе рассмотрения Заявок, хранятся Органом по ведению РКП не менее 3 (трех) лет.</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На основании результатов рассмотрения Заявок и Участников Комиссия принимает одно из следующих решений:</w:t>
      </w:r>
    </w:p>
    <w:p>
      <w:pPr>
        <w:pStyle w:val="ConsPlusNormal1"/>
        <w:tabs>
          <w:tab w:val="clear" w:pos="708"/>
          <w:tab w:val="left" w:pos="1134" w:leader="none"/>
        </w:tabs>
        <w:ind w:left="851"/>
        <w:jc w:val="both"/>
        <w:rPr>
          <w:rFonts w:ascii="Times New Roman" w:hAnsi="Times New Roman" w:cs="Times New Roman"/>
          <w:sz w:val="28"/>
          <w:szCs w:val="28"/>
        </w:rPr>
      </w:pPr>
      <w:r>
        <w:rPr>
          <w:rFonts w:cs="Times New Roman" w:ascii="Times New Roman" w:hAnsi="Times New Roman"/>
          <w:sz w:val="28"/>
          <w:szCs w:val="28"/>
        </w:rPr>
        <w:t>а) включение Участника в реестр квалифицированных подрядных организаций;</w:t>
      </w:r>
    </w:p>
    <w:p>
      <w:pPr>
        <w:pStyle w:val="ConsPlusNormal1"/>
        <w:ind w:left="851"/>
        <w:jc w:val="both"/>
        <w:rPr>
          <w:rFonts w:ascii="Times New Roman" w:hAnsi="Times New Roman" w:cs="Times New Roman"/>
          <w:sz w:val="28"/>
          <w:szCs w:val="28"/>
        </w:rPr>
      </w:pPr>
      <w:r>
        <w:rPr>
          <w:rFonts w:cs="Times New Roman" w:ascii="Times New Roman" w:hAnsi="Times New Roman"/>
          <w:sz w:val="28"/>
          <w:szCs w:val="28"/>
        </w:rPr>
        <w:t>б) отказ во включении Участника в реестр квалифицированных подрядных организаций.</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а) несоответствие Участника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б) несоответствие Заявки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в) установление факта представления Участником недостоверной информации (сведений, документов) в составе Заявки.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b/>
          <w:sz w:val="28"/>
          <w:szCs w:val="28"/>
        </w:rPr>
        <w:t>Принятие решения о признании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Предварительный отбор признается Комиссией несостоявшимся в следующих случаях:</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Протокол заседания Комиссии</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 xml:space="preserve">Приложение № 1 </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ПО ИЗВЕЩЕНИЮ № _______________ ОТ _____________________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0" w:after="120"/>
        <w:ind w:left="0"/>
        <w:contextualSpacing w:val="false"/>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tru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eastAsia="Times New Roman" w:cs="Times New Roman" w:ascii="Times New Roman" w:hAnsi="Times New Roman"/>
          <w:bCs/>
          <w:sz w:val="24"/>
          <w:szCs w:val="24"/>
          <w:u w:val="single"/>
          <w:lang w:eastAsia="ru-RU"/>
        </w:rPr>
        <w:t>.</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7"/>
        <w:gridCol w:w="2158"/>
        <w:gridCol w:w="1700"/>
        <w:gridCol w:w="1418"/>
        <w:gridCol w:w="1732"/>
        <w:gridCol w:w="2520"/>
      </w:tblGrid>
      <w:tr>
        <w:trPr/>
        <w:tc>
          <w:tcPr>
            <w:tcW w:w="67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2"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0"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2"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0"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2"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sectPr>
      <w:type w:val="nextPage"/>
      <w:pgSz w:w="11906" w:h="16838"/>
      <w:pgMar w:left="1701" w:right="850" w:gutter="0" w:header="0" w:top="1134"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3338" w:hanging="360"/>
      </w:pPr>
      <w:rPr/>
    </w:lvl>
    <w:lvl w:ilvl="1">
      <w:start w:val="1"/>
      <w:numFmt w:val="lowerLetter"/>
      <w:lvlText w:val="%2."/>
      <w:lvlJc w:val="left"/>
      <w:pPr>
        <w:tabs>
          <w:tab w:val="num" w:pos="0"/>
        </w:tabs>
        <w:ind w:left="4058" w:hanging="360"/>
      </w:pPr>
      <w:rPr/>
    </w:lvl>
    <w:lvl w:ilvl="2">
      <w:start w:val="1"/>
      <w:numFmt w:val="lowerRoman"/>
      <w:lvlText w:val="%3."/>
      <w:lvlJc w:val="right"/>
      <w:pPr>
        <w:tabs>
          <w:tab w:val="num" w:pos="0"/>
        </w:tabs>
        <w:ind w:left="4778" w:hanging="180"/>
      </w:pPr>
      <w:rPr/>
    </w:lvl>
    <w:lvl w:ilvl="3">
      <w:start w:val="1"/>
      <w:numFmt w:val="decimal"/>
      <w:lvlText w:val="%4."/>
      <w:lvlJc w:val="left"/>
      <w:pPr>
        <w:tabs>
          <w:tab w:val="num" w:pos="0"/>
        </w:tabs>
        <w:ind w:left="5498" w:hanging="360"/>
      </w:pPr>
      <w:rPr/>
    </w:lvl>
    <w:lvl w:ilvl="4">
      <w:start w:val="1"/>
      <w:numFmt w:val="lowerLetter"/>
      <w:lvlText w:val="%5."/>
      <w:lvlJc w:val="left"/>
      <w:pPr>
        <w:tabs>
          <w:tab w:val="num" w:pos="0"/>
        </w:tabs>
        <w:ind w:left="6218" w:hanging="360"/>
      </w:pPr>
      <w:rPr/>
    </w:lvl>
    <w:lvl w:ilvl="5">
      <w:start w:val="1"/>
      <w:numFmt w:val="lowerRoman"/>
      <w:lvlText w:val="%6."/>
      <w:lvlJc w:val="right"/>
      <w:pPr>
        <w:tabs>
          <w:tab w:val="num" w:pos="0"/>
        </w:tabs>
        <w:ind w:left="6938" w:hanging="180"/>
      </w:pPr>
      <w:rPr/>
    </w:lvl>
    <w:lvl w:ilvl="6">
      <w:start w:val="1"/>
      <w:numFmt w:val="decimal"/>
      <w:lvlText w:val="%7."/>
      <w:lvlJc w:val="left"/>
      <w:pPr>
        <w:tabs>
          <w:tab w:val="num" w:pos="0"/>
        </w:tabs>
        <w:ind w:left="7658" w:hanging="360"/>
      </w:pPr>
      <w:rPr/>
    </w:lvl>
    <w:lvl w:ilvl="7">
      <w:start w:val="1"/>
      <w:numFmt w:val="lowerLetter"/>
      <w:lvlText w:val="%8."/>
      <w:lvlJc w:val="left"/>
      <w:pPr>
        <w:tabs>
          <w:tab w:val="num" w:pos="0"/>
        </w:tabs>
        <w:ind w:left="8378" w:hanging="360"/>
      </w:pPr>
      <w:rPr/>
    </w:lvl>
    <w:lvl w:ilvl="8">
      <w:start w:val="1"/>
      <w:numFmt w:val="lowerRoman"/>
      <w:lvlText w:val="%9."/>
      <w:lvlJc w:val="right"/>
      <w:pPr>
        <w:tabs>
          <w:tab w:val="num" w:pos="0"/>
        </w:tabs>
        <w:ind w:left="9098"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5464" w:hanging="360"/>
      </w:pPr>
      <w:rPr/>
    </w:lvl>
    <w:lvl w:ilvl="1">
      <w:start w:val="1"/>
      <w:numFmt w:val="lowerLetter"/>
      <w:lvlText w:val="%2."/>
      <w:lvlJc w:val="left"/>
      <w:pPr>
        <w:tabs>
          <w:tab w:val="num" w:pos="0"/>
        </w:tabs>
        <w:ind w:left="6042" w:hanging="360"/>
      </w:pPr>
      <w:rPr/>
    </w:lvl>
    <w:lvl w:ilvl="2">
      <w:start w:val="1"/>
      <w:numFmt w:val="lowerRoman"/>
      <w:lvlText w:val="%3."/>
      <w:lvlJc w:val="right"/>
      <w:pPr>
        <w:tabs>
          <w:tab w:val="num" w:pos="0"/>
        </w:tabs>
        <w:ind w:left="6762" w:hanging="180"/>
      </w:pPr>
      <w:rPr/>
    </w:lvl>
    <w:lvl w:ilvl="3">
      <w:start w:val="1"/>
      <w:numFmt w:val="decimal"/>
      <w:lvlText w:val="%4."/>
      <w:lvlJc w:val="left"/>
      <w:pPr>
        <w:tabs>
          <w:tab w:val="num" w:pos="0"/>
        </w:tabs>
        <w:ind w:left="7482" w:hanging="360"/>
      </w:pPr>
      <w:rPr/>
    </w:lvl>
    <w:lvl w:ilvl="4">
      <w:start w:val="1"/>
      <w:numFmt w:val="lowerLetter"/>
      <w:lvlText w:val="%5."/>
      <w:lvlJc w:val="left"/>
      <w:pPr>
        <w:tabs>
          <w:tab w:val="num" w:pos="0"/>
        </w:tabs>
        <w:ind w:left="8202" w:hanging="360"/>
      </w:pPr>
      <w:rPr/>
    </w:lvl>
    <w:lvl w:ilvl="5">
      <w:start w:val="1"/>
      <w:numFmt w:val="lowerRoman"/>
      <w:lvlText w:val="%6."/>
      <w:lvlJc w:val="right"/>
      <w:pPr>
        <w:tabs>
          <w:tab w:val="num" w:pos="0"/>
        </w:tabs>
        <w:ind w:left="8922" w:hanging="180"/>
      </w:pPr>
      <w:rPr/>
    </w:lvl>
    <w:lvl w:ilvl="6">
      <w:start w:val="1"/>
      <w:numFmt w:val="decimal"/>
      <w:lvlText w:val="%7."/>
      <w:lvlJc w:val="left"/>
      <w:pPr>
        <w:tabs>
          <w:tab w:val="num" w:pos="0"/>
        </w:tabs>
        <w:ind w:left="9642" w:hanging="360"/>
      </w:pPr>
      <w:rPr/>
    </w:lvl>
    <w:lvl w:ilvl="7">
      <w:start w:val="1"/>
      <w:numFmt w:val="lowerLetter"/>
      <w:lvlText w:val="%8."/>
      <w:lvlJc w:val="left"/>
      <w:pPr>
        <w:tabs>
          <w:tab w:val="num" w:pos="0"/>
        </w:tabs>
        <w:ind w:left="10362" w:hanging="360"/>
      </w:pPr>
      <w:rPr/>
    </w:lvl>
    <w:lvl w:ilvl="8">
      <w:start w:val="1"/>
      <w:numFmt w:val="lowerRoman"/>
      <w:lvlText w:val="%9."/>
      <w:lvlJc w:val="right"/>
      <w:pPr>
        <w:tabs>
          <w:tab w:val="num" w:pos="0"/>
        </w:tabs>
        <w:ind w:left="11082" w:hanging="180"/>
      </w:pPr>
      <w:rPr/>
    </w:lvl>
  </w:abstractNum>
  <w:abstractNum w:abstractNumId="6">
    <w:lvl w:ilvl="0">
      <w:start w:val="1"/>
      <w:numFmt w:val="decimal"/>
      <w:lvlText w:val="%1."/>
      <w:lvlJc w:val="left"/>
      <w:pPr>
        <w:tabs>
          <w:tab w:val="num" w:pos="0"/>
        </w:tabs>
        <w:ind w:left="3192" w:hanging="360"/>
      </w:pPr>
      <w:rPr/>
    </w:lvl>
    <w:lvl w:ilvl="1">
      <w:start w:val="1"/>
      <w:numFmt w:val="decimal"/>
      <w:lvlText w:val="%1.%2."/>
      <w:lvlJc w:val="left"/>
      <w:pPr>
        <w:tabs>
          <w:tab w:val="num" w:pos="0"/>
        </w:tabs>
        <w:ind w:left="3624"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1"/>
      <w:numFmt w:val="upperRoman"/>
      <w:lvlText w:val="%1."/>
      <w:lvlJc w:val="left"/>
      <w:pPr>
        <w:tabs>
          <w:tab w:val="num" w:pos="0"/>
        </w:tabs>
        <w:ind w:left="1080"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6"/>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6a27f0"/>
    <w:rPr/>
  </w:style>
  <w:style w:type="character" w:styleId="ConsPlusNormal" w:customStyle="1">
    <w:name w:val="ConsPlusNormal Знак"/>
    <w:basedOn w:val="DefaultParagraphFont"/>
    <w:link w:val="ConsPlusNormal1"/>
    <w:qFormat/>
    <w:locked/>
    <w:rsid w:val="006a27f0"/>
    <w:rPr>
      <w:rFonts w:ascii="Arial" w:hAnsi="Arial" w:eastAsia="" w:cs="Arial" w:eastAsiaTheme="minorEastAsia"/>
      <w:sz w:val="20"/>
      <w:szCs w:val="20"/>
      <w:lang w:eastAsia="ru-RU"/>
    </w:rPr>
  </w:style>
  <w:style w:type="character" w:styleId="Style22" w:customStyle="1">
    <w:name w:val="Гипертекстовая ссылка"/>
    <w:basedOn w:val="DefaultParagraphFont"/>
    <w:uiPriority w:val="99"/>
    <w:qFormat/>
    <w:rsid w:val="00422350"/>
    <w:rPr>
      <w:rFonts w:cs="Times New Roman"/>
      <w:b w:val="false"/>
      <w:color w:val="106BBE"/>
    </w:rPr>
  </w:style>
  <w:style w:type="character" w:styleId="FollowedHyperlink">
    <w:name w:val="FollowedHyperlink"/>
    <w:basedOn w:val="DefaultParagraphFont"/>
    <w:uiPriority w:val="99"/>
    <w:semiHidden/>
    <w:unhideWhenUsed/>
    <w:rsid w:val="002c0023"/>
    <w:rPr>
      <w:color w:themeColor="followedHyperlink" w:val="954F72"/>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character" w:styleId="Style23">
    <w:name w:val="Символ нумерации"/>
    <w:qFormat/>
    <w:rPr/>
  </w:style>
  <w:style w:type="paragraph" w:styleId="Style2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5">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6"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7"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kaprem37.ru/" TargetMode="External"/><Relationship Id="rId3" Type="http://schemas.openxmlformats.org/officeDocument/2006/relationships/hyperlink" Target="http://kaprem37.ru/"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6F26E-95F7-4E85-9E85-9ADE1AD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2102</TotalTime>
  <Application>LibreOffice/24.2.4.2$Windows_X86_64 LibreOffice_project/51a6219feb6075d9a4c46691dcfe0cd9c4fff3c2</Application>
  <AppVersion>15.0000</AppVersion>
  <Pages>22</Pages>
  <Words>5684</Words>
  <Characters>41696</Characters>
  <CharactersWithSpaces>47151</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2017-12-01T11:56:00Z</dcterms:created>
  <dc:creator>Василий</dc:creator>
  <dc:description/>
  <dc:language>ru-RU</dc:language>
  <cp:lastModifiedBy/>
  <cp:lastPrinted>2019-10-03T10:22:00Z</cp:lastPrinted>
  <dcterms:modified xsi:type="dcterms:W3CDTF">2026-08-25T14:12:44Z</dcterms:modified>
  <cp:revision>93</cp:revision>
  <dc:subject/>
  <dc:title/>
</cp:coreProperties>
</file>

<file path=docProps/custom.xml><?xml version="1.0" encoding="utf-8"?>
<Properties xmlns="http://schemas.openxmlformats.org/officeDocument/2006/custom-properties" xmlns:vt="http://schemas.openxmlformats.org/officeDocument/2006/docPropsVTypes"/>
</file>